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50" w:lineRule="atLeast"/>
        <w:jc w:val="center"/>
      </w:pPr>
      <w:bookmarkStart w:id="0" w:name="_GoBack"/>
      <w:r>
        <w:rPr>
          <w:rFonts w:hint="eastAsia" w:ascii="宋体" w:hAnsi="宋体" w:eastAsia="宋体" w:cs="宋体"/>
          <w:b w:val="0"/>
          <w:i w:val="0"/>
          <w:caps w:val="0"/>
          <w:color w:val="000000"/>
          <w:spacing w:val="0"/>
          <w:sz w:val="21"/>
          <w:szCs w:val="21"/>
        </w:rPr>
        <w:t>油价调控风险准备金征收管理办法</w:t>
      </w:r>
    </w:p>
    <w:bookmarkEnd w:id="0"/>
    <w:p>
      <w:pPr>
        <w:pStyle w:val="2"/>
        <w:keepNext w:val="0"/>
        <w:keepLines w:val="0"/>
        <w:widowControl/>
        <w:suppressLineNumbers w:val="0"/>
        <w:spacing w:line="450" w:lineRule="atLeast"/>
        <w:jc w:val="left"/>
      </w:pPr>
      <w:r>
        <w:rPr>
          <w:rFonts w:hint="eastAsia" w:ascii="宋体" w:hAnsi="宋体" w:eastAsia="宋体" w:cs="宋体"/>
          <w:b w:val="0"/>
          <w:i w:val="0"/>
          <w:caps w:val="0"/>
          <w:color w:val="000000"/>
          <w:spacing w:val="0"/>
          <w:sz w:val="21"/>
          <w:szCs w:val="21"/>
        </w:rPr>
        <w:t>第一章 总则</w:t>
      </w:r>
    </w:p>
    <w:p>
      <w:pPr>
        <w:pStyle w:val="2"/>
        <w:keepNext w:val="0"/>
        <w:keepLines w:val="0"/>
        <w:widowControl/>
        <w:suppressLineNumbers w:val="0"/>
        <w:spacing w:line="450" w:lineRule="atLeast"/>
        <w:jc w:val="left"/>
      </w:pPr>
      <w:r>
        <w:rPr>
          <w:rFonts w:hint="eastAsia" w:ascii="宋体" w:hAnsi="宋体" w:eastAsia="宋体" w:cs="宋体"/>
          <w:b w:val="0"/>
          <w:i w:val="0"/>
          <w:caps w:val="0"/>
          <w:color w:val="000000"/>
          <w:spacing w:val="0"/>
          <w:sz w:val="21"/>
          <w:szCs w:val="21"/>
        </w:rPr>
        <w:t>第一条 为完善成品油价格形成机制，加强和规范油价调控风险准备金（以下简称风险准备金）征收管理，根据《中华人民共和国预算法》和《国家发展改革委关于进一步完善成品油价格形成机制有关问题的通知》（发改价格〔2016〕64号）的有关规定，制定本办法。</w:t>
      </w:r>
    </w:p>
    <w:p>
      <w:pPr>
        <w:pStyle w:val="2"/>
        <w:keepNext w:val="0"/>
        <w:keepLines w:val="0"/>
        <w:widowControl/>
        <w:suppressLineNumbers w:val="0"/>
        <w:spacing w:line="450" w:lineRule="atLeast"/>
        <w:jc w:val="left"/>
      </w:pPr>
      <w:r>
        <w:rPr>
          <w:rFonts w:hint="eastAsia" w:ascii="宋体" w:hAnsi="宋体" w:eastAsia="宋体" w:cs="宋体"/>
          <w:b w:val="0"/>
          <w:i w:val="0"/>
          <w:caps w:val="0"/>
          <w:color w:val="000000"/>
          <w:spacing w:val="0"/>
          <w:sz w:val="21"/>
          <w:szCs w:val="21"/>
        </w:rPr>
        <w:t>第二条 风险准备金的收缴、预算、使用和监督管理，适用本办法。</w:t>
      </w:r>
    </w:p>
    <w:p>
      <w:pPr>
        <w:pStyle w:val="2"/>
        <w:keepNext w:val="0"/>
        <w:keepLines w:val="0"/>
        <w:widowControl/>
        <w:suppressLineNumbers w:val="0"/>
        <w:spacing w:line="450" w:lineRule="atLeast"/>
        <w:jc w:val="left"/>
      </w:pPr>
      <w:r>
        <w:rPr>
          <w:rFonts w:hint="eastAsia" w:ascii="宋体" w:hAnsi="宋体" w:eastAsia="宋体" w:cs="宋体"/>
          <w:b w:val="0"/>
          <w:i w:val="0"/>
          <w:caps w:val="0"/>
          <w:color w:val="000000"/>
          <w:spacing w:val="0"/>
          <w:sz w:val="21"/>
          <w:szCs w:val="21"/>
        </w:rPr>
        <w:t>第三条 风险准备金全额上缴中央国库，纳入一般公共预算管理，列“其他专项收入”，统筹用于节能减排、提升油品质量、保障石油供应安全，以及应对国际油价大幅波动，实施保障措施的资金来源。</w:t>
      </w:r>
    </w:p>
    <w:p>
      <w:pPr>
        <w:pStyle w:val="2"/>
        <w:keepNext w:val="0"/>
        <w:keepLines w:val="0"/>
        <w:widowControl/>
        <w:suppressLineNumbers w:val="0"/>
        <w:spacing w:line="450" w:lineRule="atLeast"/>
        <w:jc w:val="left"/>
      </w:pPr>
      <w:r>
        <w:rPr>
          <w:rFonts w:hint="eastAsia" w:ascii="宋体" w:hAnsi="宋体" w:eastAsia="宋体" w:cs="宋体"/>
          <w:b w:val="0"/>
          <w:i w:val="0"/>
          <w:caps w:val="0"/>
          <w:color w:val="000000"/>
          <w:spacing w:val="0"/>
          <w:sz w:val="21"/>
          <w:szCs w:val="21"/>
        </w:rPr>
        <w:t>第二章 征收管理</w:t>
      </w:r>
    </w:p>
    <w:p>
      <w:pPr>
        <w:pStyle w:val="2"/>
        <w:keepNext w:val="0"/>
        <w:keepLines w:val="0"/>
        <w:widowControl/>
        <w:suppressLineNumbers w:val="0"/>
        <w:spacing w:line="450" w:lineRule="atLeast"/>
        <w:jc w:val="left"/>
      </w:pPr>
      <w:r>
        <w:rPr>
          <w:rFonts w:hint="eastAsia" w:ascii="宋体" w:hAnsi="宋体" w:eastAsia="宋体" w:cs="宋体"/>
          <w:b w:val="0"/>
          <w:i w:val="0"/>
          <w:caps w:val="0"/>
          <w:color w:val="000000"/>
          <w:spacing w:val="0"/>
          <w:sz w:val="21"/>
          <w:szCs w:val="21"/>
        </w:rPr>
        <w:t>第四条 风险准备金的缴纳义务人为中华人民共和国境内生产、委托加工和进口汽、柴油的成品油生产经营企业。</w:t>
      </w:r>
    </w:p>
    <w:p>
      <w:pPr>
        <w:pStyle w:val="2"/>
        <w:keepNext w:val="0"/>
        <w:keepLines w:val="0"/>
        <w:widowControl/>
        <w:suppressLineNumbers w:val="0"/>
        <w:spacing w:line="450" w:lineRule="atLeast"/>
        <w:jc w:val="left"/>
      </w:pPr>
      <w:r>
        <w:rPr>
          <w:rFonts w:hint="eastAsia" w:ascii="宋体" w:hAnsi="宋体" w:eastAsia="宋体" w:cs="宋体"/>
          <w:b w:val="0"/>
          <w:i w:val="0"/>
          <w:caps w:val="0"/>
          <w:color w:val="000000"/>
          <w:spacing w:val="0"/>
          <w:sz w:val="21"/>
          <w:szCs w:val="21"/>
        </w:rPr>
        <w:t>第五条 当国际市场原油价格低于国家规定的成品油价格调控下限时，缴纳义务人应按照汽油、柴油的销售数量和规定的征收标准缴纳风险准备金。</w:t>
      </w:r>
    </w:p>
    <w:p>
      <w:pPr>
        <w:pStyle w:val="2"/>
        <w:keepNext w:val="0"/>
        <w:keepLines w:val="0"/>
        <w:widowControl/>
        <w:suppressLineNumbers w:val="0"/>
        <w:spacing w:line="450" w:lineRule="atLeast"/>
        <w:jc w:val="left"/>
      </w:pPr>
      <w:r>
        <w:rPr>
          <w:rFonts w:hint="eastAsia" w:ascii="宋体" w:hAnsi="宋体" w:eastAsia="宋体" w:cs="宋体"/>
          <w:b w:val="0"/>
          <w:i w:val="0"/>
          <w:caps w:val="0"/>
          <w:color w:val="000000"/>
          <w:spacing w:val="0"/>
          <w:sz w:val="21"/>
          <w:szCs w:val="21"/>
        </w:rPr>
        <w:t>第六条 汽油、柴油销售数量是指缴纳义务人于相邻两个调价窗口期之间实际销售数量。</w:t>
      </w:r>
    </w:p>
    <w:p>
      <w:pPr>
        <w:pStyle w:val="2"/>
        <w:keepNext w:val="0"/>
        <w:keepLines w:val="0"/>
        <w:widowControl/>
        <w:suppressLineNumbers w:val="0"/>
        <w:spacing w:line="450" w:lineRule="atLeast"/>
        <w:jc w:val="left"/>
      </w:pPr>
      <w:r>
        <w:rPr>
          <w:rFonts w:hint="eastAsia" w:ascii="宋体" w:hAnsi="宋体" w:eastAsia="宋体" w:cs="宋体"/>
          <w:b w:val="0"/>
          <w:i w:val="0"/>
          <w:caps w:val="0"/>
          <w:color w:val="000000"/>
          <w:spacing w:val="0"/>
          <w:sz w:val="21"/>
          <w:szCs w:val="21"/>
        </w:rPr>
        <w:t>第七条 风险准备金征收标准按照成品油价格未调金额确定。</w:t>
      </w:r>
    </w:p>
    <w:p>
      <w:pPr>
        <w:pStyle w:val="2"/>
        <w:keepNext w:val="0"/>
        <w:keepLines w:val="0"/>
        <w:widowControl/>
        <w:suppressLineNumbers w:val="0"/>
        <w:spacing w:line="450" w:lineRule="atLeast"/>
        <w:jc w:val="left"/>
      </w:pPr>
      <w:r>
        <w:rPr>
          <w:rFonts w:hint="eastAsia" w:ascii="宋体" w:hAnsi="宋体" w:eastAsia="宋体" w:cs="宋体"/>
          <w:b w:val="0"/>
          <w:i w:val="0"/>
          <w:caps w:val="0"/>
          <w:color w:val="000000"/>
          <w:spacing w:val="0"/>
          <w:sz w:val="21"/>
          <w:szCs w:val="21"/>
        </w:rPr>
        <w:t>第八条 成品油价格未调金额由国家发展改革委、财政部根据国际原油价格变动情况，按照现行成品油价格形成机制计算核定，于每季度前10个工作日内，将上季度每次调价窗口期的征收标准，书面告知征收机关。</w:t>
      </w:r>
    </w:p>
    <w:p>
      <w:pPr>
        <w:pStyle w:val="2"/>
        <w:keepNext w:val="0"/>
        <w:keepLines w:val="0"/>
        <w:widowControl/>
        <w:suppressLineNumbers w:val="0"/>
        <w:spacing w:line="450" w:lineRule="atLeast"/>
        <w:jc w:val="left"/>
      </w:pPr>
      <w:r>
        <w:rPr>
          <w:rFonts w:hint="eastAsia" w:ascii="宋体" w:hAnsi="宋体" w:eastAsia="宋体" w:cs="宋体"/>
          <w:b w:val="0"/>
          <w:i w:val="0"/>
          <w:caps w:val="0"/>
          <w:color w:val="000000"/>
          <w:spacing w:val="0"/>
          <w:sz w:val="21"/>
          <w:szCs w:val="21"/>
        </w:rPr>
        <w:t>第九条 财政部驻各省、区、市财政监察专员办事处（以下简称专员办）负责征收风险准备金。</w:t>
      </w:r>
    </w:p>
    <w:p>
      <w:pPr>
        <w:pStyle w:val="2"/>
        <w:keepNext w:val="0"/>
        <w:keepLines w:val="0"/>
        <w:widowControl/>
        <w:suppressLineNumbers w:val="0"/>
        <w:spacing w:line="450" w:lineRule="atLeast"/>
        <w:jc w:val="left"/>
      </w:pPr>
      <w:r>
        <w:rPr>
          <w:rFonts w:hint="eastAsia" w:ascii="宋体" w:hAnsi="宋体" w:eastAsia="宋体" w:cs="宋体"/>
          <w:b w:val="0"/>
          <w:i w:val="0"/>
          <w:caps w:val="0"/>
          <w:color w:val="000000"/>
          <w:spacing w:val="0"/>
          <w:sz w:val="21"/>
          <w:szCs w:val="21"/>
        </w:rPr>
        <w:t>第十条 风险准备金的缴纳地点为缴纳义务人注册登记地。</w:t>
      </w:r>
    </w:p>
    <w:p>
      <w:pPr>
        <w:pStyle w:val="2"/>
        <w:keepNext w:val="0"/>
        <w:keepLines w:val="0"/>
        <w:widowControl/>
        <w:suppressLineNumbers w:val="0"/>
        <w:spacing w:line="450" w:lineRule="atLeast"/>
        <w:jc w:val="left"/>
      </w:pPr>
      <w:r>
        <w:rPr>
          <w:rFonts w:hint="eastAsia" w:ascii="宋体" w:hAnsi="宋体" w:eastAsia="宋体" w:cs="宋体"/>
          <w:b w:val="0"/>
          <w:i w:val="0"/>
          <w:caps w:val="0"/>
          <w:color w:val="000000"/>
          <w:spacing w:val="0"/>
          <w:sz w:val="21"/>
          <w:szCs w:val="21"/>
        </w:rPr>
        <w:t>第十一条 风险准备金由缴纳义务人申报缴纳。其中，缴纳义务人有两个及以上从事成品油生产经营企业的，可由征收机关指定集团公司或其他公司实行汇总缴纳。</w:t>
      </w:r>
    </w:p>
    <w:p>
      <w:pPr>
        <w:pStyle w:val="2"/>
        <w:keepNext w:val="0"/>
        <w:keepLines w:val="0"/>
        <w:widowControl/>
        <w:suppressLineNumbers w:val="0"/>
        <w:spacing w:line="450" w:lineRule="atLeast"/>
        <w:jc w:val="left"/>
      </w:pPr>
      <w:r>
        <w:rPr>
          <w:rFonts w:hint="eastAsia" w:ascii="宋体" w:hAnsi="宋体" w:eastAsia="宋体" w:cs="宋体"/>
          <w:b w:val="0"/>
          <w:i w:val="0"/>
          <w:caps w:val="0"/>
          <w:color w:val="000000"/>
          <w:spacing w:val="0"/>
          <w:sz w:val="21"/>
          <w:szCs w:val="21"/>
        </w:rPr>
        <w:t>（一）中国石油天然气集团公司、中国石油化工集团公司、中国海洋石油总公司等中央企业应当缴纳的风险准备金，由财政部驻北京市专员办负责征收。</w:t>
      </w:r>
    </w:p>
    <w:p>
      <w:pPr>
        <w:pStyle w:val="2"/>
        <w:keepNext w:val="0"/>
        <w:keepLines w:val="0"/>
        <w:widowControl/>
        <w:suppressLineNumbers w:val="0"/>
        <w:spacing w:line="450" w:lineRule="atLeast"/>
        <w:jc w:val="left"/>
      </w:pPr>
      <w:r>
        <w:rPr>
          <w:rFonts w:hint="eastAsia" w:ascii="宋体" w:hAnsi="宋体" w:eastAsia="宋体" w:cs="宋体"/>
          <w:b w:val="0"/>
          <w:i w:val="0"/>
          <w:caps w:val="0"/>
          <w:color w:val="000000"/>
          <w:spacing w:val="0"/>
          <w:sz w:val="21"/>
          <w:szCs w:val="21"/>
        </w:rPr>
        <w:t>（二）地方企业应当缴纳的风险准备金，由所在省（区、市）征收机关负责征收。</w:t>
      </w:r>
    </w:p>
    <w:p>
      <w:pPr>
        <w:pStyle w:val="2"/>
        <w:keepNext w:val="0"/>
        <w:keepLines w:val="0"/>
        <w:widowControl/>
        <w:suppressLineNumbers w:val="0"/>
        <w:spacing w:line="450" w:lineRule="atLeast"/>
        <w:jc w:val="left"/>
      </w:pPr>
      <w:r>
        <w:rPr>
          <w:rFonts w:hint="eastAsia" w:ascii="宋体" w:hAnsi="宋体" w:eastAsia="宋体" w:cs="宋体"/>
          <w:b w:val="0"/>
          <w:i w:val="0"/>
          <w:caps w:val="0"/>
          <w:color w:val="000000"/>
          <w:spacing w:val="0"/>
          <w:sz w:val="21"/>
          <w:szCs w:val="21"/>
        </w:rPr>
        <w:t>第十二条 缴纳义务人可以选择按季度或者按年度缴纳风险准备金。具体缴纳方式由缴纳义务人报征收机关核准。缴纳方式一经确定，不得随意变更。</w:t>
      </w:r>
    </w:p>
    <w:p>
      <w:pPr>
        <w:pStyle w:val="2"/>
        <w:keepNext w:val="0"/>
        <w:keepLines w:val="0"/>
        <w:widowControl/>
        <w:suppressLineNumbers w:val="0"/>
        <w:spacing w:line="450" w:lineRule="atLeast"/>
        <w:jc w:val="left"/>
      </w:pPr>
      <w:r>
        <w:rPr>
          <w:rFonts w:hint="eastAsia" w:ascii="宋体" w:hAnsi="宋体" w:eastAsia="宋体" w:cs="宋体"/>
          <w:b w:val="0"/>
          <w:i w:val="0"/>
          <w:caps w:val="0"/>
          <w:color w:val="000000"/>
          <w:spacing w:val="0"/>
          <w:sz w:val="21"/>
          <w:szCs w:val="21"/>
        </w:rPr>
        <w:t>第十三条 缴纳义务人应当根据本办法规定，向所在地征收机关如实申报汽油、柴油销售数量和应缴纳的风险准备金。</w:t>
      </w:r>
    </w:p>
    <w:p>
      <w:pPr>
        <w:pStyle w:val="2"/>
        <w:keepNext w:val="0"/>
        <w:keepLines w:val="0"/>
        <w:widowControl/>
        <w:suppressLineNumbers w:val="0"/>
        <w:spacing w:line="450" w:lineRule="atLeast"/>
        <w:jc w:val="left"/>
      </w:pPr>
      <w:r>
        <w:rPr>
          <w:rFonts w:hint="eastAsia" w:ascii="宋体" w:hAnsi="宋体" w:eastAsia="宋体" w:cs="宋体"/>
          <w:b w:val="0"/>
          <w:i w:val="0"/>
          <w:caps w:val="0"/>
          <w:color w:val="000000"/>
          <w:spacing w:val="0"/>
          <w:sz w:val="21"/>
          <w:szCs w:val="21"/>
        </w:rPr>
        <w:t>按季度缴纳的，缴纳义务人应当于每季度前15个工作日内，如实填写《油价调控风险准备金申报表》（见附1），提交给征收机关审核。</w:t>
      </w:r>
    </w:p>
    <w:p>
      <w:pPr>
        <w:pStyle w:val="2"/>
        <w:keepNext w:val="0"/>
        <w:keepLines w:val="0"/>
        <w:widowControl/>
        <w:suppressLineNumbers w:val="0"/>
        <w:spacing w:line="450" w:lineRule="atLeast"/>
        <w:jc w:val="left"/>
      </w:pPr>
      <w:r>
        <w:rPr>
          <w:rFonts w:hint="eastAsia" w:ascii="宋体" w:hAnsi="宋体" w:eastAsia="宋体" w:cs="宋体"/>
          <w:b w:val="0"/>
          <w:i w:val="0"/>
          <w:caps w:val="0"/>
          <w:color w:val="000000"/>
          <w:spacing w:val="0"/>
          <w:sz w:val="21"/>
          <w:szCs w:val="21"/>
        </w:rPr>
        <w:t>按年度缴纳的，缴纳义务人应当于每年1月20日前，如实填写《油价调控风险准备金申报表》，提交给征收机关审核。</w:t>
      </w:r>
    </w:p>
    <w:p>
      <w:pPr>
        <w:pStyle w:val="2"/>
        <w:keepNext w:val="0"/>
        <w:keepLines w:val="0"/>
        <w:widowControl/>
        <w:suppressLineNumbers w:val="0"/>
        <w:spacing w:line="450" w:lineRule="atLeast"/>
        <w:jc w:val="left"/>
      </w:pPr>
      <w:r>
        <w:rPr>
          <w:rFonts w:hint="eastAsia" w:ascii="宋体" w:hAnsi="宋体" w:eastAsia="宋体" w:cs="宋体"/>
          <w:b w:val="0"/>
          <w:i w:val="0"/>
          <w:caps w:val="0"/>
          <w:color w:val="000000"/>
          <w:spacing w:val="0"/>
          <w:sz w:val="21"/>
          <w:szCs w:val="21"/>
        </w:rPr>
        <w:t>第十四条 征收机关应当于5个工作日内完成对申报材料的审核，并向缴纳义务人开具《非税收入一般缴款书》。</w:t>
      </w:r>
    </w:p>
    <w:p>
      <w:pPr>
        <w:pStyle w:val="2"/>
        <w:keepNext w:val="0"/>
        <w:keepLines w:val="0"/>
        <w:widowControl/>
        <w:suppressLineNumbers w:val="0"/>
        <w:spacing w:line="450" w:lineRule="atLeast"/>
        <w:jc w:val="left"/>
      </w:pPr>
      <w:r>
        <w:rPr>
          <w:rFonts w:hint="eastAsia" w:ascii="宋体" w:hAnsi="宋体" w:eastAsia="宋体" w:cs="宋体"/>
          <w:b w:val="0"/>
          <w:i w:val="0"/>
          <w:caps w:val="0"/>
          <w:color w:val="000000"/>
          <w:spacing w:val="0"/>
          <w:sz w:val="21"/>
          <w:szCs w:val="21"/>
        </w:rPr>
        <w:t>第十五条 缴纳义务人按照《非税收入一般缴款书》所规定的缴款额，在5个工作日内足额上缴风险准备金。</w:t>
      </w:r>
    </w:p>
    <w:p>
      <w:pPr>
        <w:pStyle w:val="2"/>
        <w:keepNext w:val="0"/>
        <w:keepLines w:val="0"/>
        <w:widowControl/>
        <w:suppressLineNumbers w:val="0"/>
        <w:spacing w:line="450" w:lineRule="atLeast"/>
        <w:jc w:val="left"/>
      </w:pPr>
      <w:r>
        <w:rPr>
          <w:rFonts w:hint="eastAsia" w:ascii="宋体" w:hAnsi="宋体" w:eastAsia="宋体" w:cs="宋体"/>
          <w:b w:val="0"/>
          <w:i w:val="0"/>
          <w:caps w:val="0"/>
          <w:color w:val="000000"/>
          <w:spacing w:val="0"/>
          <w:sz w:val="21"/>
          <w:szCs w:val="21"/>
        </w:rPr>
        <w:t>第十六条 风险准备金缴库时，填列政府收支分类科目第103029999目“其他专项收入”。</w:t>
      </w:r>
    </w:p>
    <w:p>
      <w:pPr>
        <w:pStyle w:val="2"/>
        <w:keepNext w:val="0"/>
        <w:keepLines w:val="0"/>
        <w:widowControl/>
        <w:suppressLineNumbers w:val="0"/>
        <w:spacing w:line="450" w:lineRule="atLeast"/>
        <w:jc w:val="left"/>
      </w:pPr>
      <w:r>
        <w:rPr>
          <w:rFonts w:hint="eastAsia" w:ascii="宋体" w:hAnsi="宋体" w:eastAsia="宋体" w:cs="宋体"/>
          <w:b w:val="0"/>
          <w:i w:val="0"/>
          <w:caps w:val="0"/>
          <w:color w:val="000000"/>
          <w:spacing w:val="0"/>
          <w:sz w:val="21"/>
          <w:szCs w:val="21"/>
        </w:rPr>
        <w:t>第十七条 风险准备金具体缴库办法，按照财政部国库集中收缴制度有关规定执行。</w:t>
      </w:r>
    </w:p>
    <w:p>
      <w:pPr>
        <w:pStyle w:val="2"/>
        <w:keepNext w:val="0"/>
        <w:keepLines w:val="0"/>
        <w:widowControl/>
        <w:suppressLineNumbers w:val="0"/>
        <w:spacing w:line="450" w:lineRule="atLeast"/>
        <w:jc w:val="left"/>
      </w:pPr>
      <w:r>
        <w:rPr>
          <w:rFonts w:hint="eastAsia" w:ascii="宋体" w:hAnsi="宋体" w:eastAsia="宋体" w:cs="宋体"/>
          <w:b w:val="0"/>
          <w:i w:val="0"/>
          <w:caps w:val="0"/>
          <w:color w:val="000000"/>
          <w:spacing w:val="0"/>
          <w:sz w:val="21"/>
          <w:szCs w:val="21"/>
        </w:rPr>
        <w:t>第十八条 对于按季缴纳的，征收机关根据缴纳义务人实际销售的汽油、柴油数量，在次年3月底完成对缴纳义务人全年风险准备金的汇算清缴工作。</w:t>
      </w:r>
    </w:p>
    <w:p>
      <w:pPr>
        <w:pStyle w:val="2"/>
        <w:keepNext w:val="0"/>
        <w:keepLines w:val="0"/>
        <w:widowControl/>
        <w:suppressLineNumbers w:val="0"/>
        <w:spacing w:line="450" w:lineRule="atLeast"/>
        <w:jc w:val="left"/>
      </w:pPr>
      <w:r>
        <w:rPr>
          <w:rFonts w:hint="eastAsia" w:ascii="宋体" w:hAnsi="宋体" w:eastAsia="宋体" w:cs="宋体"/>
          <w:b w:val="0"/>
          <w:i w:val="0"/>
          <w:caps w:val="0"/>
          <w:color w:val="000000"/>
          <w:spacing w:val="0"/>
          <w:sz w:val="21"/>
          <w:szCs w:val="21"/>
        </w:rPr>
        <w:t>第十九条 风险准备金计入“其他应付款”核算，不得计入企业当期收入。</w:t>
      </w:r>
    </w:p>
    <w:p>
      <w:pPr>
        <w:pStyle w:val="2"/>
        <w:keepNext w:val="0"/>
        <w:keepLines w:val="0"/>
        <w:widowControl/>
        <w:suppressLineNumbers w:val="0"/>
        <w:spacing w:line="450" w:lineRule="atLeast"/>
        <w:jc w:val="left"/>
      </w:pPr>
      <w:r>
        <w:rPr>
          <w:rFonts w:hint="eastAsia" w:ascii="宋体" w:hAnsi="宋体" w:eastAsia="宋体" w:cs="宋体"/>
          <w:b w:val="0"/>
          <w:i w:val="0"/>
          <w:caps w:val="0"/>
          <w:color w:val="000000"/>
          <w:spacing w:val="0"/>
          <w:sz w:val="21"/>
          <w:szCs w:val="21"/>
        </w:rPr>
        <w:t>第二十条 任何单位和个人不得违反本办法规定，擅自减免或缓征风险准备金，不得自行调整风险准备金征收对象、范围和标准。</w:t>
      </w:r>
    </w:p>
    <w:p>
      <w:pPr>
        <w:pStyle w:val="2"/>
        <w:keepNext w:val="0"/>
        <w:keepLines w:val="0"/>
        <w:widowControl/>
        <w:suppressLineNumbers w:val="0"/>
        <w:spacing w:line="450" w:lineRule="atLeast"/>
        <w:jc w:val="left"/>
      </w:pPr>
      <w:r>
        <w:rPr>
          <w:rFonts w:hint="eastAsia" w:ascii="宋体" w:hAnsi="宋体" w:eastAsia="宋体" w:cs="宋体"/>
          <w:b w:val="0"/>
          <w:i w:val="0"/>
          <w:caps w:val="0"/>
          <w:color w:val="000000"/>
          <w:spacing w:val="0"/>
          <w:sz w:val="21"/>
          <w:szCs w:val="21"/>
        </w:rPr>
        <w:t>第三章 监督管理</w:t>
      </w:r>
    </w:p>
    <w:p>
      <w:pPr>
        <w:pStyle w:val="2"/>
        <w:keepNext w:val="0"/>
        <w:keepLines w:val="0"/>
        <w:widowControl/>
        <w:suppressLineNumbers w:val="0"/>
        <w:spacing w:line="450" w:lineRule="atLeast"/>
        <w:jc w:val="left"/>
      </w:pPr>
      <w:r>
        <w:rPr>
          <w:rFonts w:hint="eastAsia" w:ascii="宋体" w:hAnsi="宋体" w:eastAsia="宋体" w:cs="宋体"/>
          <w:b w:val="0"/>
          <w:i w:val="0"/>
          <w:caps w:val="0"/>
          <w:color w:val="000000"/>
          <w:spacing w:val="0"/>
          <w:sz w:val="21"/>
          <w:szCs w:val="21"/>
        </w:rPr>
        <w:t>第二十一条 风险准备金的征收情况应当接受财政、发展改革（价格）部门的监督检查和审计机关的审计监督。</w:t>
      </w:r>
    </w:p>
    <w:p>
      <w:pPr>
        <w:pStyle w:val="2"/>
        <w:keepNext w:val="0"/>
        <w:keepLines w:val="0"/>
        <w:widowControl/>
        <w:suppressLineNumbers w:val="0"/>
        <w:spacing w:line="450" w:lineRule="atLeast"/>
        <w:jc w:val="left"/>
      </w:pPr>
      <w:r>
        <w:rPr>
          <w:rFonts w:hint="eastAsia" w:ascii="宋体" w:hAnsi="宋体" w:eastAsia="宋体" w:cs="宋体"/>
          <w:b w:val="0"/>
          <w:i w:val="0"/>
          <w:caps w:val="0"/>
          <w:color w:val="000000"/>
          <w:spacing w:val="0"/>
          <w:sz w:val="21"/>
          <w:szCs w:val="21"/>
        </w:rPr>
        <w:t>第二十二条 缴纳义务人应当按照本通知规定，及时申报和缴纳风险准备金，不得拒绝或拖延。</w:t>
      </w:r>
    </w:p>
    <w:p>
      <w:pPr>
        <w:pStyle w:val="2"/>
        <w:keepNext w:val="0"/>
        <w:keepLines w:val="0"/>
        <w:widowControl/>
        <w:suppressLineNumbers w:val="0"/>
        <w:spacing w:line="450" w:lineRule="atLeast"/>
        <w:jc w:val="left"/>
      </w:pPr>
      <w:r>
        <w:rPr>
          <w:rFonts w:hint="eastAsia" w:ascii="宋体" w:hAnsi="宋体" w:eastAsia="宋体" w:cs="宋体"/>
          <w:b w:val="0"/>
          <w:i w:val="0"/>
          <w:caps w:val="0"/>
          <w:color w:val="000000"/>
          <w:spacing w:val="0"/>
          <w:sz w:val="21"/>
          <w:szCs w:val="21"/>
        </w:rPr>
        <w:t>第二十三条 征收机关要加强风险准备金征收管理，对逃避缴纳、应申报未申报、申报不实等情况，严格按照法律、行政法规规定查处，确保资金及时足额入库。</w:t>
      </w:r>
    </w:p>
    <w:p>
      <w:pPr>
        <w:pStyle w:val="2"/>
        <w:keepNext w:val="0"/>
        <w:keepLines w:val="0"/>
        <w:widowControl/>
        <w:suppressLineNumbers w:val="0"/>
        <w:spacing w:line="450" w:lineRule="atLeast"/>
        <w:jc w:val="left"/>
      </w:pPr>
      <w:r>
        <w:rPr>
          <w:rFonts w:hint="eastAsia" w:ascii="宋体" w:hAnsi="宋体" w:eastAsia="宋体" w:cs="宋体"/>
          <w:b w:val="0"/>
          <w:i w:val="0"/>
          <w:caps w:val="0"/>
          <w:color w:val="000000"/>
          <w:spacing w:val="0"/>
          <w:sz w:val="21"/>
          <w:szCs w:val="21"/>
        </w:rPr>
        <w:t>征收机关违反规定，多征、提前征收或者减征、免征、缓征应征风险准备金收入的，严格按照有关法律、行政法规规定，追究负有直接责任的主管人员和其他直接责任人员法律责任。</w:t>
      </w:r>
    </w:p>
    <w:p>
      <w:pPr>
        <w:pStyle w:val="2"/>
        <w:keepNext w:val="0"/>
        <w:keepLines w:val="0"/>
        <w:widowControl/>
        <w:suppressLineNumbers w:val="0"/>
        <w:spacing w:line="450" w:lineRule="atLeast"/>
        <w:jc w:val="left"/>
      </w:pPr>
      <w:r>
        <w:rPr>
          <w:rFonts w:hint="eastAsia" w:ascii="宋体" w:hAnsi="宋体" w:eastAsia="宋体" w:cs="宋体"/>
          <w:b w:val="0"/>
          <w:i w:val="0"/>
          <w:caps w:val="0"/>
          <w:color w:val="000000"/>
          <w:spacing w:val="0"/>
          <w:sz w:val="21"/>
          <w:szCs w:val="21"/>
        </w:rPr>
        <w:t>第四章 附则</w:t>
      </w:r>
    </w:p>
    <w:p>
      <w:pPr>
        <w:pStyle w:val="2"/>
        <w:keepNext w:val="0"/>
        <w:keepLines w:val="0"/>
        <w:widowControl/>
        <w:suppressLineNumbers w:val="0"/>
        <w:spacing w:line="450" w:lineRule="atLeast"/>
        <w:jc w:val="left"/>
      </w:pPr>
      <w:r>
        <w:rPr>
          <w:rFonts w:hint="eastAsia" w:ascii="宋体" w:hAnsi="宋体" w:eastAsia="宋体" w:cs="宋体"/>
          <w:b w:val="0"/>
          <w:i w:val="0"/>
          <w:caps w:val="0"/>
          <w:color w:val="000000"/>
          <w:spacing w:val="0"/>
          <w:sz w:val="21"/>
          <w:szCs w:val="21"/>
        </w:rPr>
        <w:t>第二十四条 本办法由财政部、国家发展改革委解释。</w:t>
      </w:r>
    </w:p>
    <w:p>
      <w:pPr>
        <w:pStyle w:val="2"/>
        <w:keepNext w:val="0"/>
        <w:keepLines w:val="0"/>
        <w:widowControl/>
        <w:suppressLineNumbers w:val="0"/>
        <w:spacing w:line="450" w:lineRule="atLeast"/>
        <w:jc w:val="left"/>
      </w:pPr>
      <w:r>
        <w:rPr>
          <w:rFonts w:hint="eastAsia" w:ascii="宋体" w:hAnsi="宋体" w:eastAsia="宋体" w:cs="宋体"/>
          <w:b w:val="0"/>
          <w:i w:val="0"/>
          <w:caps w:val="0"/>
          <w:color w:val="000000"/>
          <w:spacing w:val="0"/>
          <w:sz w:val="21"/>
          <w:szCs w:val="21"/>
        </w:rPr>
        <w:t>第二十五条 本办法自2016年1月13日起施行。</w:t>
      </w:r>
    </w:p>
    <w:p>
      <w:pPr>
        <w:pStyle w:val="2"/>
        <w:keepNext w:val="0"/>
        <w:keepLines w:val="0"/>
        <w:widowControl/>
        <w:suppressLineNumbers w:val="0"/>
        <w:spacing w:line="450" w:lineRule="atLeast"/>
        <w:jc w:val="left"/>
      </w:pPr>
      <w:r>
        <w:rPr>
          <w:rFonts w:hint="eastAsia" w:ascii="宋体" w:hAnsi="宋体" w:eastAsia="宋体" w:cs="宋体"/>
          <w:b w:val="0"/>
          <w:i w:val="0"/>
          <w:caps w:val="0"/>
          <w:color w:val="000000"/>
          <w:spacing w:val="0"/>
          <w:sz w:val="21"/>
          <w:szCs w:val="21"/>
        </w:rPr>
        <w:t>附：1.油价调控风险准备金申报表</w:t>
      </w:r>
    </w:p>
    <w:p>
      <w:pPr>
        <w:pStyle w:val="2"/>
        <w:keepNext w:val="0"/>
        <w:keepLines w:val="0"/>
        <w:widowControl/>
        <w:suppressLineNumbers w:val="0"/>
        <w:spacing w:line="450" w:lineRule="atLeast"/>
        <w:jc w:val="left"/>
      </w:pPr>
      <w:r>
        <w:rPr>
          <w:rFonts w:hint="eastAsia" w:ascii="宋体" w:hAnsi="宋体" w:eastAsia="宋体" w:cs="宋体"/>
          <w:b w:val="0"/>
          <w:i w:val="0"/>
          <w:caps w:val="0"/>
          <w:color w:val="000000"/>
          <w:spacing w:val="0"/>
          <w:sz w:val="21"/>
          <w:szCs w:val="21"/>
        </w:rPr>
        <w:t>  2.2016年度油价调控风险准备金征收标准:</w:t>
      </w:r>
    </w:p>
    <w:p>
      <w:pPr>
        <w:pStyle w:val="2"/>
        <w:keepNext w:val="0"/>
        <w:keepLines w:val="0"/>
        <w:widowControl/>
        <w:suppressLineNumbers w:val="0"/>
        <w:spacing w:line="45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附1：</w:t>
      </w:r>
    </w:p>
    <w:tbl>
      <w:tblPr>
        <w:tblW w:w="9957" w:type="dxa"/>
        <w:jc w:val="center"/>
        <w:tblCellSpacing w:w="0" w:type="dxa"/>
        <w:tblInd w:w="-78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
      <w:tblGrid>
        <w:gridCol w:w="1775"/>
        <w:gridCol w:w="1859"/>
        <w:gridCol w:w="1317"/>
        <w:gridCol w:w="1390"/>
        <w:gridCol w:w="1317"/>
        <w:gridCol w:w="1390"/>
        <w:gridCol w:w="909"/>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tblCellSpacing w:w="0" w:type="dxa"/>
          <w:jc w:val="center"/>
        </w:trPr>
        <w:tc>
          <w:tcPr>
            <w:tcW w:w="9957" w:type="dxa"/>
            <w:gridSpan w:val="7"/>
            <w:shd w:val="clear"/>
            <w:vAlign w:val="center"/>
          </w:tcPr>
          <w:p>
            <w:pPr>
              <w:keepNext w:val="0"/>
              <w:keepLines w:val="0"/>
              <w:widowControl/>
              <w:suppressLineNumbers w:val="0"/>
              <w:jc w:val="center"/>
            </w:pPr>
            <w:r>
              <w:rPr>
                <w:rStyle w:val="4"/>
                <w:rFonts w:ascii="宋体" w:hAnsi="宋体" w:eastAsia="宋体" w:cs="宋体"/>
                <w:kern w:val="0"/>
                <w:sz w:val="24"/>
                <w:szCs w:val="24"/>
                <w:lang w:val="en-US" w:eastAsia="zh-CN" w:bidi="ar"/>
              </w:rPr>
              <w:t>油价调控风险准备金申报表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blCellSpacing w:w="0" w:type="dxa"/>
          <w:jc w:val="center"/>
        </w:trPr>
        <w:tc>
          <w:tcPr>
            <w:tcW w:w="9957" w:type="dxa"/>
            <w:gridSpan w:val="7"/>
            <w:shd w:val="clear"/>
            <w:vAlign w:val="center"/>
          </w:tcPr>
          <w:p>
            <w:pPr>
              <w:keepNext w:val="0"/>
              <w:keepLines w:val="0"/>
              <w:widowControl/>
              <w:suppressLineNumbers w:val="0"/>
              <w:jc w:val="left"/>
            </w:pPr>
            <w:r>
              <w:rPr>
                <w:rStyle w:val="4"/>
                <w:rFonts w:ascii="宋体" w:hAnsi="宋体" w:eastAsia="宋体" w:cs="宋体"/>
                <w:kern w:val="0"/>
                <w:sz w:val="24"/>
                <w:szCs w:val="24"/>
                <w:lang w:val="en-US" w:eastAsia="zh-CN" w:bidi="ar"/>
              </w:rPr>
              <w:t>企业名称: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blCellSpacing w:w="0" w:type="dxa"/>
          <w:jc w:val="center"/>
        </w:trPr>
        <w:tc>
          <w:tcPr>
            <w:tcW w:w="1775" w:type="dxa"/>
            <w:vMerge w:val="restart"/>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所属成品油生产经营公司</w:t>
            </w:r>
          </w:p>
        </w:tc>
        <w:tc>
          <w:tcPr>
            <w:tcW w:w="1859" w:type="dxa"/>
            <w:vMerge w:val="restart"/>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调价窗口期(10个工作日)</w:t>
            </w:r>
          </w:p>
        </w:tc>
        <w:tc>
          <w:tcPr>
            <w:tcW w:w="2707" w:type="dxa"/>
            <w:gridSpan w:val="2"/>
            <w:shd w:val="clear"/>
            <w:vAlign w:val="center"/>
          </w:tcPr>
          <w:p>
            <w:pPr>
              <w:keepNext w:val="0"/>
              <w:keepLines w:val="0"/>
              <w:widowControl/>
              <w:suppressLineNumbers w:val="0"/>
              <w:jc w:val="center"/>
            </w:pPr>
            <w:r>
              <w:rPr>
                <w:rStyle w:val="4"/>
                <w:rFonts w:ascii="宋体" w:hAnsi="宋体" w:eastAsia="宋体" w:cs="宋体"/>
                <w:kern w:val="0"/>
                <w:sz w:val="24"/>
                <w:szCs w:val="24"/>
                <w:lang w:val="en-US" w:eastAsia="zh-CN" w:bidi="ar"/>
              </w:rPr>
              <w:t>汽油</w:t>
            </w:r>
          </w:p>
        </w:tc>
        <w:tc>
          <w:tcPr>
            <w:tcW w:w="2707" w:type="dxa"/>
            <w:gridSpan w:val="2"/>
            <w:shd w:val="clear"/>
            <w:vAlign w:val="center"/>
          </w:tcPr>
          <w:p>
            <w:pPr>
              <w:keepNext w:val="0"/>
              <w:keepLines w:val="0"/>
              <w:widowControl/>
              <w:suppressLineNumbers w:val="0"/>
              <w:jc w:val="center"/>
            </w:pPr>
            <w:r>
              <w:rPr>
                <w:rStyle w:val="4"/>
                <w:rFonts w:ascii="宋体" w:hAnsi="宋体" w:eastAsia="宋体" w:cs="宋体"/>
                <w:kern w:val="0"/>
                <w:sz w:val="24"/>
                <w:szCs w:val="24"/>
                <w:lang w:val="en-US" w:eastAsia="zh-CN" w:bidi="ar"/>
              </w:rPr>
              <w:t>柴油</w:t>
            </w:r>
          </w:p>
        </w:tc>
        <w:tc>
          <w:tcPr>
            <w:tcW w:w="909" w:type="dxa"/>
            <w:vMerge w:val="restart"/>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应缴纳金额</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blCellSpacing w:w="0" w:type="dxa"/>
          <w:jc w:val="center"/>
        </w:trPr>
        <w:tc>
          <w:tcPr>
            <w:tcW w:w="1775" w:type="dxa"/>
            <w:vMerge w:val="continue"/>
            <w:shd w:val="clear"/>
            <w:vAlign w:val="center"/>
          </w:tcPr>
          <w:p>
            <w:pPr>
              <w:jc w:val="center"/>
              <w:rPr>
                <w:rFonts w:hint="eastAsia" w:ascii="宋体"/>
                <w:sz w:val="24"/>
                <w:szCs w:val="24"/>
              </w:rPr>
            </w:pPr>
          </w:p>
        </w:tc>
        <w:tc>
          <w:tcPr>
            <w:tcW w:w="1859" w:type="dxa"/>
            <w:vMerge w:val="continue"/>
            <w:shd w:val="clear"/>
            <w:vAlign w:val="center"/>
          </w:tcPr>
          <w:p>
            <w:pPr>
              <w:jc w:val="center"/>
              <w:rPr>
                <w:rFonts w:hint="eastAsia" w:ascii="宋体"/>
                <w:sz w:val="24"/>
                <w:szCs w:val="24"/>
              </w:rPr>
            </w:pPr>
          </w:p>
        </w:tc>
        <w:tc>
          <w:tcPr>
            <w:tcW w:w="1317"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征收标准(元/吨)</w:t>
            </w:r>
          </w:p>
        </w:tc>
        <w:tc>
          <w:tcPr>
            <w:tcW w:w="1390"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实际销售数量(吨)</w:t>
            </w:r>
          </w:p>
        </w:tc>
        <w:tc>
          <w:tcPr>
            <w:tcW w:w="1317"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征收标准(元/吨)</w:t>
            </w:r>
          </w:p>
        </w:tc>
        <w:tc>
          <w:tcPr>
            <w:tcW w:w="1390"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实际销售数量(吨)</w:t>
            </w:r>
          </w:p>
        </w:tc>
        <w:tc>
          <w:tcPr>
            <w:tcW w:w="909" w:type="dxa"/>
            <w:vMerge w:val="continue"/>
            <w:shd w:val="clear"/>
            <w:vAlign w:val="center"/>
          </w:tcPr>
          <w:p>
            <w:pPr>
              <w:jc w:val="cente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blCellSpacing w:w="0" w:type="dxa"/>
          <w:jc w:val="center"/>
        </w:trPr>
        <w:tc>
          <w:tcPr>
            <w:tcW w:w="1775"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1859"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1317"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1390"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1317"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1390"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909"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blCellSpacing w:w="0" w:type="dxa"/>
          <w:jc w:val="center"/>
        </w:trPr>
        <w:tc>
          <w:tcPr>
            <w:tcW w:w="1775"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1859"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1317"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1390"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1317"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1390"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909"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blCellSpacing w:w="0" w:type="dxa"/>
          <w:jc w:val="center"/>
        </w:trPr>
        <w:tc>
          <w:tcPr>
            <w:tcW w:w="1775"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1859"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1317"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1390"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1317"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1390"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909"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blCellSpacing w:w="0" w:type="dxa"/>
          <w:jc w:val="center"/>
        </w:trPr>
        <w:tc>
          <w:tcPr>
            <w:tcW w:w="1775"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1859"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1317"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1390"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1317"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1390"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909"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blCellSpacing w:w="0" w:type="dxa"/>
          <w:jc w:val="center"/>
        </w:trPr>
        <w:tc>
          <w:tcPr>
            <w:tcW w:w="1775"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1859"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1317"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1390"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1317"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1390"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909"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blCellSpacing w:w="0" w:type="dxa"/>
          <w:jc w:val="center"/>
        </w:trPr>
        <w:tc>
          <w:tcPr>
            <w:tcW w:w="1775"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合计</w:t>
            </w:r>
          </w:p>
        </w:tc>
        <w:tc>
          <w:tcPr>
            <w:tcW w:w="1859"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1317"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1390"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1317"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1390"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909"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blCellSpacing w:w="0" w:type="dxa"/>
          <w:jc w:val="center"/>
        </w:trPr>
        <w:tc>
          <w:tcPr>
            <w:tcW w:w="9957" w:type="dxa"/>
            <w:gridSpan w:val="7"/>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r>
    </w:tbl>
    <w:p>
      <w:pPr>
        <w:rPr>
          <w:vanish/>
          <w:sz w:val="24"/>
          <w:szCs w:val="24"/>
        </w:rPr>
      </w:pPr>
    </w:p>
    <w:tbl>
      <w:tblPr>
        <w:tblW w:w="9958" w:type="dxa"/>
        <w:jc w:val="center"/>
        <w:tblCellSpacing w:w="0" w:type="dxa"/>
        <w:tblInd w:w="-78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
      <w:tblGrid>
        <w:gridCol w:w="4720"/>
        <w:gridCol w:w="2355"/>
        <w:gridCol w:w="1534"/>
        <w:gridCol w:w="1349"/>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tblCellSpacing w:w="0" w:type="dxa"/>
          <w:jc w:val="center"/>
        </w:trPr>
        <w:tc>
          <w:tcPr>
            <w:tcW w:w="9958" w:type="dxa"/>
            <w:gridSpan w:val="4"/>
            <w:shd w:val="clear"/>
            <w:vAlign w:val="center"/>
          </w:tcPr>
          <w:p>
            <w:pPr>
              <w:keepNext w:val="0"/>
              <w:keepLines w:val="0"/>
              <w:widowControl/>
              <w:suppressLineNumbers w:val="0"/>
              <w:spacing w:line="45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kern w:val="0"/>
                <w:sz w:val="21"/>
                <w:szCs w:val="21"/>
                <w:lang w:val="en-US" w:eastAsia="zh-CN" w:bidi="ar"/>
              </w:rPr>
              <w:t>附2：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blCellSpacing w:w="0" w:type="dxa"/>
          <w:jc w:val="center"/>
        </w:trPr>
        <w:tc>
          <w:tcPr>
            <w:tcW w:w="9958" w:type="dxa"/>
            <w:gridSpan w:val="4"/>
            <w:shd w:val="clear"/>
            <w:vAlign w:val="center"/>
          </w:tcPr>
          <w:p>
            <w:pPr>
              <w:keepNext w:val="0"/>
              <w:keepLines w:val="0"/>
              <w:widowControl/>
              <w:suppressLineNumbers w:val="0"/>
              <w:spacing w:line="45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kern w:val="0"/>
                <w:sz w:val="21"/>
                <w:szCs w:val="21"/>
                <w:lang w:val="en-US" w:eastAsia="zh-CN" w:bidi="ar"/>
              </w:rPr>
              <w:t>2016年度油价调控风险准备金征收标准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blCellSpacing w:w="0" w:type="dxa"/>
          <w:jc w:val="center"/>
        </w:trPr>
        <w:tc>
          <w:tcPr>
            <w:tcW w:w="4720" w:type="dxa"/>
            <w:vMerge w:val="restart"/>
            <w:shd w:val="clear"/>
            <w:vAlign w:val="center"/>
          </w:tcPr>
          <w:p>
            <w:pPr>
              <w:keepNext w:val="0"/>
              <w:keepLines w:val="0"/>
              <w:widowControl/>
              <w:suppressLineNumbers w:val="0"/>
              <w:spacing w:line="45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kern w:val="0"/>
                <w:sz w:val="21"/>
                <w:szCs w:val="21"/>
                <w:lang w:val="en-US" w:eastAsia="zh-CN" w:bidi="ar"/>
              </w:rPr>
              <w:t>调价窗口期</w:t>
            </w:r>
          </w:p>
        </w:tc>
        <w:tc>
          <w:tcPr>
            <w:tcW w:w="2355" w:type="dxa"/>
            <w:shd w:val="clear"/>
            <w:vAlign w:val="center"/>
          </w:tcPr>
          <w:p>
            <w:pPr>
              <w:keepNext w:val="0"/>
              <w:keepLines w:val="0"/>
              <w:widowControl/>
              <w:suppressLineNumbers w:val="0"/>
              <w:spacing w:line="45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kern w:val="0"/>
                <w:sz w:val="21"/>
                <w:szCs w:val="21"/>
                <w:lang w:val="en-US" w:eastAsia="zh-CN" w:bidi="ar"/>
              </w:rPr>
              <w:t>调价周期天数</w:t>
            </w:r>
          </w:p>
        </w:tc>
        <w:tc>
          <w:tcPr>
            <w:tcW w:w="1534" w:type="dxa"/>
            <w:shd w:val="clear"/>
            <w:vAlign w:val="center"/>
          </w:tcPr>
          <w:p>
            <w:pPr>
              <w:keepNext w:val="0"/>
              <w:keepLines w:val="0"/>
              <w:widowControl/>
              <w:suppressLineNumbers w:val="0"/>
              <w:spacing w:line="45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kern w:val="0"/>
                <w:sz w:val="21"/>
                <w:szCs w:val="21"/>
                <w:lang w:val="en-US" w:eastAsia="zh-CN" w:bidi="ar"/>
              </w:rPr>
              <w:t>汽油90#</w:t>
            </w:r>
          </w:p>
        </w:tc>
        <w:tc>
          <w:tcPr>
            <w:tcW w:w="1349" w:type="dxa"/>
            <w:shd w:val="clear"/>
            <w:vAlign w:val="center"/>
          </w:tcPr>
          <w:p>
            <w:pPr>
              <w:keepNext w:val="0"/>
              <w:keepLines w:val="0"/>
              <w:widowControl/>
              <w:suppressLineNumbers w:val="0"/>
              <w:spacing w:line="45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kern w:val="0"/>
                <w:sz w:val="21"/>
                <w:szCs w:val="21"/>
                <w:lang w:val="en-US" w:eastAsia="zh-CN" w:bidi="ar"/>
              </w:rPr>
              <w:t>柴油0#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blCellSpacing w:w="0" w:type="dxa"/>
          <w:jc w:val="center"/>
        </w:trPr>
        <w:tc>
          <w:tcPr>
            <w:tcW w:w="4720" w:type="dxa"/>
            <w:vMerge w:val="continue"/>
            <w:shd w:val="clear"/>
            <w:vAlign w:val="center"/>
          </w:tcPr>
          <w:p>
            <w:pPr>
              <w:jc w:val="center"/>
              <w:rPr>
                <w:rFonts w:hint="eastAsia" w:ascii="宋体" w:hAnsi="宋体" w:eastAsia="宋体" w:cs="宋体"/>
                <w:b w:val="0"/>
                <w:i w:val="0"/>
                <w:caps w:val="0"/>
                <w:color w:val="000000"/>
                <w:spacing w:val="0"/>
                <w:sz w:val="21"/>
                <w:szCs w:val="21"/>
              </w:rPr>
            </w:pPr>
          </w:p>
        </w:tc>
        <w:tc>
          <w:tcPr>
            <w:tcW w:w="2355" w:type="dxa"/>
            <w:shd w:val="clear"/>
            <w:vAlign w:val="center"/>
          </w:tcPr>
          <w:p>
            <w:pPr>
              <w:keepNext w:val="0"/>
              <w:keepLines w:val="0"/>
              <w:widowControl/>
              <w:suppressLineNumbers w:val="0"/>
              <w:spacing w:line="45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kern w:val="0"/>
                <w:sz w:val="21"/>
                <w:szCs w:val="21"/>
                <w:lang w:val="en-US" w:eastAsia="zh-CN" w:bidi="ar"/>
              </w:rPr>
              <w:t>天</w:t>
            </w:r>
          </w:p>
        </w:tc>
        <w:tc>
          <w:tcPr>
            <w:tcW w:w="1534" w:type="dxa"/>
            <w:shd w:val="clear"/>
            <w:vAlign w:val="center"/>
          </w:tcPr>
          <w:p>
            <w:pPr>
              <w:keepNext w:val="0"/>
              <w:keepLines w:val="0"/>
              <w:widowControl/>
              <w:suppressLineNumbers w:val="0"/>
              <w:spacing w:line="45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kern w:val="0"/>
                <w:sz w:val="21"/>
                <w:szCs w:val="21"/>
                <w:lang w:val="en-US" w:eastAsia="zh-CN" w:bidi="ar"/>
              </w:rPr>
              <w:t>元/吨</w:t>
            </w:r>
          </w:p>
        </w:tc>
        <w:tc>
          <w:tcPr>
            <w:tcW w:w="1349" w:type="dxa"/>
            <w:shd w:val="clear"/>
            <w:vAlign w:val="center"/>
          </w:tcPr>
          <w:p>
            <w:pPr>
              <w:keepNext w:val="0"/>
              <w:keepLines w:val="0"/>
              <w:widowControl/>
              <w:suppressLineNumbers w:val="0"/>
              <w:spacing w:line="45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kern w:val="0"/>
                <w:sz w:val="21"/>
                <w:szCs w:val="21"/>
                <w:lang w:val="en-US" w:eastAsia="zh-CN" w:bidi="ar"/>
              </w:rPr>
              <w:t>元/吨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blCellSpacing w:w="0" w:type="dxa"/>
          <w:jc w:val="center"/>
        </w:trPr>
        <w:tc>
          <w:tcPr>
            <w:tcW w:w="4720" w:type="dxa"/>
            <w:shd w:val="clear"/>
            <w:vAlign w:val="center"/>
          </w:tcPr>
          <w:p>
            <w:pPr>
              <w:keepNext w:val="0"/>
              <w:keepLines w:val="0"/>
              <w:widowControl/>
              <w:suppressLineNumbers w:val="0"/>
              <w:spacing w:line="45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2016年1月14日-1月27日</w:t>
            </w:r>
          </w:p>
        </w:tc>
        <w:tc>
          <w:tcPr>
            <w:tcW w:w="2355" w:type="dxa"/>
            <w:shd w:val="clear"/>
            <w:vAlign w:val="center"/>
          </w:tcPr>
          <w:p>
            <w:pPr>
              <w:keepNext w:val="0"/>
              <w:keepLines w:val="0"/>
              <w:widowControl/>
              <w:suppressLineNumbers w:val="0"/>
              <w:spacing w:line="45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14</w:t>
            </w:r>
          </w:p>
        </w:tc>
        <w:tc>
          <w:tcPr>
            <w:tcW w:w="1534" w:type="dxa"/>
            <w:shd w:val="clear"/>
            <w:vAlign w:val="center"/>
          </w:tcPr>
          <w:p>
            <w:pPr>
              <w:keepNext w:val="0"/>
              <w:keepLines w:val="0"/>
              <w:widowControl/>
              <w:suppressLineNumbers w:val="0"/>
              <w:spacing w:line="45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460</w:t>
            </w:r>
          </w:p>
        </w:tc>
        <w:tc>
          <w:tcPr>
            <w:tcW w:w="1349" w:type="dxa"/>
            <w:shd w:val="clear"/>
            <w:vAlign w:val="center"/>
          </w:tcPr>
          <w:p>
            <w:pPr>
              <w:keepNext w:val="0"/>
              <w:keepLines w:val="0"/>
              <w:widowControl/>
              <w:suppressLineNumbers w:val="0"/>
              <w:spacing w:line="45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445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blCellSpacing w:w="0" w:type="dxa"/>
          <w:jc w:val="center"/>
        </w:trPr>
        <w:tc>
          <w:tcPr>
            <w:tcW w:w="4720" w:type="dxa"/>
            <w:shd w:val="clear"/>
            <w:vAlign w:val="center"/>
          </w:tcPr>
          <w:p>
            <w:pPr>
              <w:keepNext w:val="0"/>
              <w:keepLines w:val="0"/>
              <w:widowControl/>
              <w:suppressLineNumbers w:val="0"/>
              <w:spacing w:line="45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2016年1月28日-2月15日</w:t>
            </w:r>
          </w:p>
        </w:tc>
        <w:tc>
          <w:tcPr>
            <w:tcW w:w="2355" w:type="dxa"/>
            <w:shd w:val="clear"/>
            <w:vAlign w:val="center"/>
          </w:tcPr>
          <w:p>
            <w:pPr>
              <w:keepNext w:val="0"/>
              <w:keepLines w:val="0"/>
              <w:widowControl/>
              <w:suppressLineNumbers w:val="0"/>
              <w:spacing w:line="45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19</w:t>
            </w:r>
          </w:p>
        </w:tc>
        <w:tc>
          <w:tcPr>
            <w:tcW w:w="1534" w:type="dxa"/>
            <w:shd w:val="clear"/>
            <w:vAlign w:val="center"/>
          </w:tcPr>
          <w:p>
            <w:pPr>
              <w:keepNext w:val="0"/>
              <w:keepLines w:val="0"/>
              <w:widowControl/>
              <w:suppressLineNumbers w:val="0"/>
              <w:spacing w:line="45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770</w:t>
            </w:r>
          </w:p>
        </w:tc>
        <w:tc>
          <w:tcPr>
            <w:tcW w:w="1349" w:type="dxa"/>
            <w:shd w:val="clear"/>
            <w:vAlign w:val="center"/>
          </w:tcPr>
          <w:p>
            <w:pPr>
              <w:keepNext w:val="0"/>
              <w:keepLines w:val="0"/>
              <w:widowControl/>
              <w:suppressLineNumbers w:val="0"/>
              <w:spacing w:line="45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740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blCellSpacing w:w="0" w:type="dxa"/>
          <w:jc w:val="center"/>
        </w:trPr>
        <w:tc>
          <w:tcPr>
            <w:tcW w:w="4720" w:type="dxa"/>
            <w:shd w:val="clear"/>
            <w:vAlign w:val="center"/>
          </w:tcPr>
          <w:p>
            <w:pPr>
              <w:keepNext w:val="0"/>
              <w:keepLines w:val="0"/>
              <w:widowControl/>
              <w:suppressLineNumbers w:val="0"/>
              <w:spacing w:line="45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2016年2月16日-2月29日</w:t>
            </w:r>
          </w:p>
        </w:tc>
        <w:tc>
          <w:tcPr>
            <w:tcW w:w="2355" w:type="dxa"/>
            <w:shd w:val="clear"/>
            <w:vAlign w:val="center"/>
          </w:tcPr>
          <w:p>
            <w:pPr>
              <w:keepNext w:val="0"/>
              <w:keepLines w:val="0"/>
              <w:widowControl/>
              <w:suppressLineNumbers w:val="0"/>
              <w:spacing w:line="45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14</w:t>
            </w:r>
          </w:p>
        </w:tc>
        <w:tc>
          <w:tcPr>
            <w:tcW w:w="1534" w:type="dxa"/>
            <w:shd w:val="clear"/>
            <w:vAlign w:val="center"/>
          </w:tcPr>
          <w:p>
            <w:pPr>
              <w:keepNext w:val="0"/>
              <w:keepLines w:val="0"/>
              <w:widowControl/>
              <w:suppressLineNumbers w:val="0"/>
              <w:spacing w:line="45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560</w:t>
            </w:r>
          </w:p>
        </w:tc>
        <w:tc>
          <w:tcPr>
            <w:tcW w:w="1349" w:type="dxa"/>
            <w:shd w:val="clear"/>
            <w:vAlign w:val="center"/>
          </w:tcPr>
          <w:p>
            <w:pPr>
              <w:keepNext w:val="0"/>
              <w:keepLines w:val="0"/>
              <w:widowControl/>
              <w:suppressLineNumbers w:val="0"/>
              <w:spacing w:line="45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540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blCellSpacing w:w="0" w:type="dxa"/>
          <w:jc w:val="center"/>
        </w:trPr>
        <w:tc>
          <w:tcPr>
            <w:tcW w:w="4720" w:type="dxa"/>
            <w:shd w:val="clear"/>
            <w:vAlign w:val="center"/>
          </w:tcPr>
          <w:p>
            <w:pPr>
              <w:keepNext w:val="0"/>
              <w:keepLines w:val="0"/>
              <w:widowControl/>
              <w:suppressLineNumbers w:val="0"/>
              <w:spacing w:line="45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2016年3月1日-3月14日</w:t>
            </w:r>
          </w:p>
        </w:tc>
        <w:tc>
          <w:tcPr>
            <w:tcW w:w="2355" w:type="dxa"/>
            <w:shd w:val="clear"/>
            <w:vAlign w:val="center"/>
          </w:tcPr>
          <w:p>
            <w:pPr>
              <w:keepNext w:val="0"/>
              <w:keepLines w:val="0"/>
              <w:widowControl/>
              <w:suppressLineNumbers w:val="0"/>
              <w:spacing w:line="45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14</w:t>
            </w:r>
          </w:p>
        </w:tc>
        <w:tc>
          <w:tcPr>
            <w:tcW w:w="1534" w:type="dxa"/>
            <w:shd w:val="clear"/>
            <w:vAlign w:val="center"/>
          </w:tcPr>
          <w:p>
            <w:pPr>
              <w:keepNext w:val="0"/>
              <w:keepLines w:val="0"/>
              <w:widowControl/>
              <w:suppressLineNumbers w:val="0"/>
              <w:spacing w:line="45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495</w:t>
            </w:r>
          </w:p>
        </w:tc>
        <w:tc>
          <w:tcPr>
            <w:tcW w:w="1349" w:type="dxa"/>
            <w:shd w:val="clear"/>
            <w:vAlign w:val="center"/>
          </w:tcPr>
          <w:p>
            <w:pPr>
              <w:keepNext w:val="0"/>
              <w:keepLines w:val="0"/>
              <w:widowControl/>
              <w:suppressLineNumbers w:val="0"/>
              <w:spacing w:line="45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475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blCellSpacing w:w="0" w:type="dxa"/>
          <w:jc w:val="center"/>
        </w:trPr>
        <w:tc>
          <w:tcPr>
            <w:tcW w:w="4720" w:type="dxa"/>
            <w:shd w:val="clear"/>
            <w:vAlign w:val="center"/>
          </w:tcPr>
          <w:p>
            <w:pPr>
              <w:keepNext w:val="0"/>
              <w:keepLines w:val="0"/>
              <w:widowControl/>
              <w:suppressLineNumbers w:val="0"/>
              <w:spacing w:line="45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2016年3月15日-3月28日</w:t>
            </w:r>
          </w:p>
        </w:tc>
        <w:tc>
          <w:tcPr>
            <w:tcW w:w="2355" w:type="dxa"/>
            <w:shd w:val="clear"/>
            <w:vAlign w:val="center"/>
          </w:tcPr>
          <w:p>
            <w:pPr>
              <w:keepNext w:val="0"/>
              <w:keepLines w:val="0"/>
              <w:widowControl/>
              <w:suppressLineNumbers w:val="0"/>
              <w:spacing w:line="45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14</w:t>
            </w:r>
          </w:p>
        </w:tc>
        <w:tc>
          <w:tcPr>
            <w:tcW w:w="1534" w:type="dxa"/>
            <w:shd w:val="clear"/>
            <w:vAlign w:val="center"/>
          </w:tcPr>
          <w:p>
            <w:pPr>
              <w:keepNext w:val="0"/>
              <w:keepLines w:val="0"/>
              <w:widowControl/>
              <w:suppressLineNumbers w:val="0"/>
              <w:spacing w:line="45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190</w:t>
            </w:r>
          </w:p>
        </w:tc>
        <w:tc>
          <w:tcPr>
            <w:tcW w:w="1349" w:type="dxa"/>
            <w:shd w:val="clear"/>
            <w:vAlign w:val="center"/>
          </w:tcPr>
          <w:p>
            <w:pPr>
              <w:keepNext w:val="0"/>
              <w:keepLines w:val="0"/>
              <w:widowControl/>
              <w:suppressLineNumbers w:val="0"/>
              <w:spacing w:line="45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180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blCellSpacing w:w="0" w:type="dxa"/>
          <w:jc w:val="center"/>
        </w:trPr>
        <w:tc>
          <w:tcPr>
            <w:tcW w:w="4720" w:type="dxa"/>
            <w:shd w:val="clear"/>
            <w:vAlign w:val="center"/>
          </w:tcPr>
          <w:p>
            <w:pPr>
              <w:keepNext w:val="0"/>
              <w:keepLines w:val="0"/>
              <w:widowControl/>
              <w:suppressLineNumbers w:val="0"/>
              <w:spacing w:line="45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2016年3月29日-4月12日</w:t>
            </w:r>
          </w:p>
        </w:tc>
        <w:tc>
          <w:tcPr>
            <w:tcW w:w="2355" w:type="dxa"/>
            <w:shd w:val="clear"/>
            <w:vAlign w:val="center"/>
          </w:tcPr>
          <w:p>
            <w:pPr>
              <w:keepNext w:val="0"/>
              <w:keepLines w:val="0"/>
              <w:widowControl/>
              <w:suppressLineNumbers w:val="0"/>
              <w:spacing w:line="45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15</w:t>
            </w:r>
          </w:p>
        </w:tc>
        <w:tc>
          <w:tcPr>
            <w:tcW w:w="1534" w:type="dxa"/>
            <w:shd w:val="clear"/>
            <w:vAlign w:val="center"/>
          </w:tcPr>
          <w:p>
            <w:pPr>
              <w:keepNext w:val="0"/>
              <w:keepLines w:val="0"/>
              <w:widowControl/>
              <w:suppressLineNumbers w:val="0"/>
              <w:spacing w:line="45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50</w:t>
            </w:r>
          </w:p>
        </w:tc>
        <w:tc>
          <w:tcPr>
            <w:tcW w:w="1349" w:type="dxa"/>
            <w:shd w:val="clear"/>
            <w:vAlign w:val="center"/>
          </w:tcPr>
          <w:p>
            <w:pPr>
              <w:keepNext w:val="0"/>
              <w:keepLines w:val="0"/>
              <w:widowControl/>
              <w:suppressLineNumbers w:val="0"/>
              <w:spacing w:line="45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50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blCellSpacing w:w="0" w:type="dxa"/>
          <w:jc w:val="center"/>
        </w:trPr>
        <w:tc>
          <w:tcPr>
            <w:tcW w:w="4720" w:type="dxa"/>
            <w:shd w:val="clear"/>
            <w:vAlign w:val="center"/>
          </w:tcPr>
          <w:p>
            <w:pPr>
              <w:keepNext w:val="0"/>
              <w:keepLines w:val="0"/>
              <w:widowControl/>
              <w:suppressLineNumbers w:val="0"/>
              <w:spacing w:line="45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2016年4月13日-4月26日</w:t>
            </w:r>
          </w:p>
        </w:tc>
        <w:tc>
          <w:tcPr>
            <w:tcW w:w="2355" w:type="dxa"/>
            <w:shd w:val="clear"/>
            <w:vAlign w:val="center"/>
          </w:tcPr>
          <w:p>
            <w:pPr>
              <w:keepNext w:val="0"/>
              <w:keepLines w:val="0"/>
              <w:widowControl/>
              <w:suppressLineNumbers w:val="0"/>
              <w:spacing w:line="45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14</w:t>
            </w:r>
          </w:p>
        </w:tc>
        <w:tc>
          <w:tcPr>
            <w:tcW w:w="1534" w:type="dxa"/>
            <w:shd w:val="clear"/>
            <w:vAlign w:val="center"/>
          </w:tcPr>
          <w:p>
            <w:pPr>
              <w:keepNext w:val="0"/>
              <w:keepLines w:val="0"/>
              <w:widowControl/>
              <w:suppressLineNumbers w:val="0"/>
              <w:spacing w:line="45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120</w:t>
            </w:r>
          </w:p>
        </w:tc>
        <w:tc>
          <w:tcPr>
            <w:tcW w:w="1349" w:type="dxa"/>
            <w:shd w:val="clear"/>
            <w:vAlign w:val="center"/>
          </w:tcPr>
          <w:p>
            <w:pPr>
              <w:keepNext w:val="0"/>
              <w:keepLines w:val="0"/>
              <w:widowControl/>
              <w:suppressLineNumbers w:val="0"/>
              <w:spacing w:line="45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115</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D754CA"/>
    <w:rsid w:val="73D754C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2017-01-12T01:37:00Z</dcterms:created>
  <dc:creator>Administrator</dc:creator>
  <cp:lastModifiedBy>Administrator</cp:lastModifiedBy>
  <dcterms:modified xsi:type="dcterms:W3CDTF">2017-01-12T01:37:15Z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